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6" w:lineRule="exact"/>
        <w:rPr>
          <w:rFonts w:eastAsia="方正仿宋简体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附件</w:t>
      </w:r>
    </w:p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eastAsia="方正小标宋简体"/>
          <w:b/>
          <w:bCs/>
          <w:sz w:val="36"/>
          <w:szCs w:val="44"/>
        </w:rPr>
        <w:t>201</w:t>
      </w:r>
      <w:r>
        <w:rPr>
          <w:rFonts w:hint="eastAsia" w:eastAsia="方正小标宋简体"/>
          <w:b/>
          <w:bCs/>
          <w:sz w:val="36"/>
          <w:szCs w:val="44"/>
        </w:rPr>
        <w:t>7</w:t>
      </w:r>
      <w:r>
        <w:rPr>
          <w:rFonts w:eastAsia="方正小标宋简体"/>
          <w:b/>
          <w:bCs/>
          <w:sz w:val="36"/>
          <w:szCs w:val="44"/>
        </w:rPr>
        <w:t>年</w:t>
      </w:r>
      <w:r>
        <w:rPr>
          <w:rFonts w:hint="eastAsia" w:eastAsia="方正小标宋简体"/>
          <w:b/>
          <w:bCs/>
          <w:sz w:val="36"/>
          <w:szCs w:val="44"/>
          <w:u w:val="none"/>
        </w:rPr>
        <w:t>美术学</w:t>
      </w:r>
      <w:r>
        <w:rPr>
          <w:rFonts w:hint="eastAsia" w:eastAsia="方正小标宋简体"/>
          <w:b/>
          <w:bCs/>
          <w:sz w:val="36"/>
          <w:szCs w:val="44"/>
        </w:rPr>
        <w:t>一级学科</w:t>
      </w:r>
      <w:r>
        <w:rPr>
          <w:rFonts w:eastAsia="方正小标宋简体"/>
          <w:b/>
          <w:bCs/>
          <w:sz w:val="36"/>
          <w:szCs w:val="44"/>
        </w:rPr>
        <w:t>学位授权点</w:t>
      </w:r>
    </w:p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eastAsia="方正小标宋简体"/>
          <w:b/>
          <w:bCs/>
          <w:sz w:val="36"/>
          <w:szCs w:val="44"/>
        </w:rPr>
        <w:t>专项评估工作方案</w:t>
      </w:r>
    </w:p>
    <w:p>
      <w:pPr>
        <w:spacing w:before="156" w:beforeLines="50" w:line="520" w:lineRule="exact"/>
        <w:ind w:firstLine="561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根据</w:t>
      </w:r>
      <w:r>
        <w:rPr>
          <w:rFonts w:hint="eastAsia" w:eastAsia="方正仿宋简体"/>
          <w:sz w:val="30"/>
          <w:szCs w:val="30"/>
        </w:rPr>
        <w:t>《学位授权点合格评估办法》、</w:t>
      </w:r>
      <w:r>
        <w:rPr>
          <w:rFonts w:eastAsia="方正仿宋简体"/>
          <w:sz w:val="30"/>
          <w:szCs w:val="30"/>
        </w:rPr>
        <w:t>《关于开展201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年学位授权点专项评估工作的通知》（学位〔201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〕</w:t>
      </w:r>
      <w:r>
        <w:rPr>
          <w:rFonts w:hint="eastAsia" w:eastAsia="方正仿宋简体"/>
          <w:sz w:val="30"/>
          <w:szCs w:val="30"/>
        </w:rPr>
        <w:t>11</w:t>
      </w:r>
      <w:r>
        <w:rPr>
          <w:rFonts w:eastAsia="方正仿宋简体"/>
          <w:sz w:val="30"/>
          <w:szCs w:val="30"/>
        </w:rPr>
        <w:t>号）文件精神和要求，现就201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年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eastAsia="方正仿宋简体"/>
          <w:sz w:val="30"/>
          <w:szCs w:val="30"/>
        </w:rPr>
        <w:t>学位授权点专项评估工作安排如下：</w:t>
      </w:r>
    </w:p>
    <w:p>
      <w:pPr>
        <w:spacing w:line="520" w:lineRule="exact"/>
        <w:ind w:firstLine="56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一、评估范围</w:t>
      </w:r>
    </w:p>
    <w:p>
      <w:pPr>
        <w:spacing w:line="520" w:lineRule="exact"/>
        <w:ind w:firstLine="560"/>
        <w:rPr>
          <w:rFonts w:eastAsia="方正仿宋简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2013年获得授权的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hint="eastAsia" w:eastAsia="方正仿宋简体"/>
          <w:color w:val="000000"/>
          <w:kern w:val="0"/>
          <w:sz w:val="30"/>
          <w:szCs w:val="30"/>
        </w:rPr>
        <w:t>学位授权点（以下简称参评点），具体名单见附</w:t>
      </w:r>
      <w:r>
        <w:rPr>
          <w:rFonts w:hint="eastAsia" w:eastAsia="方正仿宋简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件1。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二、评估组织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>受国务院学位委员会和教育部的委托，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eastAsia="方正仿宋简体"/>
          <w:color w:val="000000"/>
          <w:kern w:val="0"/>
          <w:sz w:val="30"/>
          <w:szCs w:val="30"/>
        </w:rPr>
        <w:t>学位授权点的</w:t>
      </w:r>
      <w:r>
        <w:rPr>
          <w:rFonts w:hint="eastAsia" w:eastAsia="方正仿宋简体"/>
          <w:color w:val="000000"/>
          <w:kern w:val="0"/>
          <w:sz w:val="30"/>
          <w:szCs w:val="30"/>
        </w:rPr>
        <w:t>专项</w:t>
      </w:r>
      <w:r>
        <w:rPr>
          <w:rFonts w:eastAsia="方正仿宋简体"/>
          <w:color w:val="000000"/>
          <w:kern w:val="0"/>
          <w:sz w:val="30"/>
          <w:szCs w:val="30"/>
        </w:rPr>
        <w:t>评估工作由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</w:t>
      </w:r>
      <w:r>
        <w:rPr>
          <w:rFonts w:eastAsia="方正仿宋简体"/>
          <w:color w:val="000000"/>
          <w:kern w:val="0"/>
          <w:sz w:val="30"/>
          <w:szCs w:val="30"/>
        </w:rPr>
        <w:t>（以下简称“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</w:t>
      </w:r>
      <w:r>
        <w:rPr>
          <w:rFonts w:eastAsia="方正仿宋简体"/>
          <w:color w:val="000000"/>
          <w:kern w:val="0"/>
          <w:sz w:val="30"/>
          <w:szCs w:val="30"/>
        </w:rPr>
        <w:t>”）组织实施。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三、评估内容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专项评估主要检查参评点研究生培养体系的完备性，包括师资队伍（队伍结构、导师水平）、人才培养（招生选拔、培养方案、课程教学、学术训练或实践教学、学位授予）和质量保证（制度建设、过程管理、学风教育）等。具体要素</w:t>
      </w:r>
      <w:r>
        <w:rPr>
          <w:rFonts w:eastAsia="方正仿宋简体"/>
          <w:color w:val="000000"/>
          <w:kern w:val="0"/>
          <w:sz w:val="30"/>
          <w:szCs w:val="30"/>
        </w:rPr>
        <w:t>见附件2。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四、评估程序与方式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1. 学位授予单位收到专项评估工作方案后，按照要求撰写自评报告（见附件3</w:t>
      </w:r>
      <w:r>
        <w:rPr>
          <w:rFonts w:hint="eastAsia" w:eastAsia="方正仿宋简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方正仿宋简体"/>
          <w:color w:val="000000"/>
          <w:kern w:val="0"/>
          <w:sz w:val="30"/>
          <w:szCs w:val="30"/>
        </w:rPr>
        <w:t>并于2017年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7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月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20</w:t>
      </w:r>
      <w:r>
        <w:rPr>
          <w:rFonts w:hint="eastAsia" w:eastAsia="方正仿宋简体"/>
          <w:color w:val="000000"/>
          <w:kern w:val="0"/>
          <w:sz w:val="30"/>
          <w:szCs w:val="30"/>
        </w:rPr>
        <w:t>日前将自评报告上传至“全国学位与研究生教育质量信息平台”（http://zlxxpt.chinadegrees.cn）向社会公开。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2. 学位授予单位拟主动放弃的参评点，应在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6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月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20</w:t>
      </w:r>
      <w:r>
        <w:rPr>
          <w:rFonts w:hint="eastAsia" w:eastAsia="方正仿宋简体"/>
          <w:color w:val="000000"/>
          <w:kern w:val="0"/>
          <w:sz w:val="30"/>
          <w:szCs w:val="30"/>
        </w:rPr>
        <w:t>日前，向国务院学位委员会办公室以及有关省级学位委员会、学科评议组、教指委提交主动放弃申请。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未按时提交参评点评估材料且未申请主动放弃的，该参评点视为评估结果“不合格”。</w:t>
      </w:r>
    </w:p>
    <w:p>
      <w:pPr>
        <w:spacing w:line="520" w:lineRule="exact"/>
        <w:ind w:firstLine="560"/>
        <w:rPr>
          <w:rFonts w:eastAsia="方正仿宋简体"/>
          <w:color w:val="FF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3.</w:t>
      </w:r>
      <w:r>
        <w:rPr>
          <w:rFonts w:hint="eastAsia"/>
        </w:rPr>
        <w:t xml:space="preserve"> 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学科评议组根据专项评估工作方案，组织专家评阅参评点评估材料。参评专家一般为学科评议组成员。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4. 学科评议组认为确有必要的，将选择部分参评点进行实地考察。实地考察方案和被考察单位名单，由学科评议组商国务院学位委员会办公室确定，并及时通知有关单位。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5. 学科评议组在充分评议基础上，组织参评专家对参评点进行表决（表决意见分为“合格”和“不合格”两项），根据评议情况和表决意见，依据《学位授权点合格评估办法》，认定参评点评估结果，形成评估意见，提出处理建议。</w:t>
      </w:r>
    </w:p>
    <w:p>
      <w:pPr>
        <w:spacing w:line="520" w:lineRule="exact"/>
        <w:ind w:firstLine="560"/>
        <w:rPr>
          <w:rFonts w:eastAsia="方正仿宋简体"/>
          <w:color w:val="FF0000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6. 学科评议组及时向参评高校反馈专家评议意见，如有参评高校对评议意见提出异议，应在收到反馈意见</w:t>
      </w:r>
      <w:r>
        <w:rPr>
          <w:rFonts w:hint="eastAsia" w:eastAsia="方正仿宋简体"/>
          <w:kern w:val="0"/>
          <w:sz w:val="30"/>
          <w:szCs w:val="30"/>
          <w:u w:val="none"/>
        </w:rPr>
        <w:t>20</w:t>
      </w:r>
      <w:r>
        <w:rPr>
          <w:rFonts w:hint="eastAsia" w:eastAsia="方正仿宋简体"/>
          <w:kern w:val="0"/>
          <w:sz w:val="30"/>
          <w:szCs w:val="30"/>
        </w:rPr>
        <w:t>日内向学科评议组提出。本学科组收到异议时，在20天内组织学科组专家重新进行评议并给与解释。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7.</w:t>
      </w:r>
      <w:r>
        <w:rPr>
          <w:rFonts w:hint="eastAsia"/>
        </w:rPr>
        <w:t xml:space="preserve"> </w:t>
      </w:r>
      <w:r>
        <w:rPr>
          <w:rFonts w:hint="eastAsia" w:eastAsia="方正仿宋简体"/>
          <w:kern w:val="0"/>
          <w:sz w:val="30"/>
          <w:szCs w:val="30"/>
        </w:rPr>
        <w:t>学科评议组于2017年8月31日前将评估报告报国务院学位委员会办公室。评估报告包括参评点评估结果（附原始表决结果）、评估意见和处理建议等。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五</w:t>
      </w: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、</w:t>
      </w: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联系方式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  <w:u w:val="none"/>
        </w:rPr>
      </w:pPr>
      <w:r>
        <w:rPr>
          <w:rFonts w:hint="eastAsia" w:eastAsia="方正仿宋简体"/>
          <w:sz w:val="30"/>
          <w:szCs w:val="30"/>
        </w:rPr>
        <w:t>学科评议组联系人：</w:t>
      </w:r>
      <w:r>
        <w:rPr>
          <w:rFonts w:hint="eastAsia" w:eastAsia="方正仿宋简体"/>
          <w:sz w:val="30"/>
          <w:szCs w:val="30"/>
          <w:u w:val="none"/>
        </w:rPr>
        <w:t>李安源</w:t>
      </w:r>
      <w:r>
        <w:rPr>
          <w:rFonts w:hint="eastAsia" w:eastAsia="方正仿宋简体"/>
          <w:sz w:val="30"/>
          <w:szCs w:val="30"/>
        </w:rPr>
        <w:t>，联系电话：</w:t>
      </w:r>
      <w:r>
        <w:rPr>
          <w:rFonts w:hint="eastAsia" w:eastAsia="方正仿宋简体"/>
          <w:color w:val="000000"/>
          <w:kern w:val="0"/>
          <w:sz w:val="30"/>
          <w:szCs w:val="30"/>
          <w:u w:val="none"/>
        </w:rPr>
        <w:t>13951031799</w:t>
      </w:r>
      <w:r>
        <w:rPr>
          <w:rFonts w:hint="eastAsia" w:eastAsia="方正仿宋简体"/>
          <w:sz w:val="30"/>
          <w:szCs w:val="30"/>
          <w:u w:val="none"/>
        </w:rPr>
        <w:t>，电子信箱：</w:t>
      </w:r>
      <w:r>
        <w:rPr>
          <w:rFonts w:hint="eastAsia" w:eastAsia="方正仿宋简体"/>
          <w:sz w:val="30"/>
          <w:szCs w:val="30"/>
          <w:u w:val="none"/>
        </w:rPr>
        <w:t>yuan1799@126.com</w:t>
      </w:r>
    </w:p>
    <w:p>
      <w:pPr>
        <w:spacing w:line="520" w:lineRule="exact"/>
        <w:ind w:firstLine="600" w:firstLineChars="200"/>
        <w:rPr>
          <w:rFonts w:eastAsia="方正仿宋简体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附件：1.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sz w:val="30"/>
          <w:szCs w:val="30"/>
        </w:rPr>
        <w:t>一级</w:t>
      </w:r>
      <w:r>
        <w:rPr>
          <w:rFonts w:hint="eastAsia" w:eastAsia="方正仿宋简体"/>
          <w:bCs/>
          <w:sz w:val="30"/>
          <w:szCs w:val="30"/>
        </w:rPr>
        <w:t>学科专项评估学位授权点名单</w:t>
      </w:r>
    </w:p>
    <w:p>
      <w:pPr>
        <w:spacing w:line="520" w:lineRule="exact"/>
        <w:ind w:firstLine="1500" w:firstLineChars="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2.</w:t>
      </w:r>
      <w:r>
        <w:rPr>
          <w:rFonts w:hint="eastAsia" w:eastAsia="方正仿宋简体"/>
          <w:sz w:val="30"/>
          <w:szCs w:val="30"/>
          <w:u w:val="none"/>
        </w:rPr>
        <w:t>美术学</w:t>
      </w:r>
      <w:r>
        <w:rPr>
          <w:rFonts w:hint="eastAsia" w:eastAsia="方正仿宋简体"/>
          <w:sz w:val="30"/>
          <w:szCs w:val="30"/>
        </w:rPr>
        <w:t>一级</w:t>
      </w:r>
      <w:r>
        <w:rPr>
          <w:rFonts w:hint="eastAsia" w:eastAsia="方正仿宋简体"/>
          <w:bCs/>
          <w:sz w:val="30"/>
          <w:szCs w:val="30"/>
        </w:rPr>
        <w:t>学科学位授权点专项评估要素</w:t>
      </w:r>
    </w:p>
    <w:p>
      <w:pPr>
        <w:spacing w:line="520" w:lineRule="exact"/>
        <w:ind w:firstLine="1500" w:firstLineChars="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3.学位授权点</w:t>
      </w:r>
      <w:r>
        <w:rPr>
          <w:rFonts w:hint="eastAsia" w:eastAsia="方正仿宋简体"/>
          <w:bCs/>
          <w:sz w:val="30"/>
          <w:szCs w:val="30"/>
        </w:rPr>
        <w:t>自评报告</w:t>
      </w:r>
    </w:p>
    <w:p>
      <w:pPr>
        <w:spacing w:line="360" w:lineRule="atLeast"/>
        <w:rPr>
          <w:rFonts w:ascii="方正仿宋简体" w:eastAsia="方正仿宋简体"/>
          <w:sz w:val="28"/>
          <w:szCs w:val="28"/>
        </w:rPr>
      </w:pPr>
      <w:r>
        <w:rPr>
          <w:rFonts w:eastAsiaTheme="minorEastAsia"/>
          <w:sz w:val="24"/>
        </w:rPr>
        <w:br w:type="page"/>
      </w:r>
      <w:r>
        <w:rPr>
          <w:rFonts w:hint="eastAsia" w:ascii="方正仿宋简体" w:eastAsia="方正仿宋简体"/>
          <w:sz w:val="28"/>
          <w:szCs w:val="28"/>
        </w:rPr>
        <w:t>附件</w:t>
      </w:r>
      <w:r>
        <w:rPr>
          <w:rFonts w:eastAsia="方正仿宋简体"/>
          <w:sz w:val="28"/>
          <w:szCs w:val="28"/>
        </w:rPr>
        <w:t>1</w:t>
      </w:r>
    </w:p>
    <w:p>
      <w:pPr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  <w:u w:val="none"/>
        </w:rPr>
        <w:t>美术学</w:t>
      </w:r>
      <w:r>
        <w:rPr>
          <w:rFonts w:hint="eastAsia" w:eastAsia="方正小标宋简体"/>
          <w:b/>
          <w:sz w:val="32"/>
          <w:szCs w:val="32"/>
        </w:rPr>
        <w:t>一级学科</w:t>
      </w:r>
      <w:r>
        <w:rPr>
          <w:rFonts w:eastAsia="方正小标宋简体"/>
          <w:b/>
          <w:sz w:val="32"/>
          <w:szCs w:val="32"/>
        </w:rPr>
        <w:t>专项评估</w:t>
      </w:r>
      <w:r>
        <w:rPr>
          <w:rFonts w:hint="eastAsia" w:eastAsia="方正小标宋简体"/>
          <w:b/>
          <w:sz w:val="32"/>
          <w:szCs w:val="32"/>
        </w:rPr>
        <w:t>学位授权点</w:t>
      </w:r>
      <w:r>
        <w:rPr>
          <w:rFonts w:eastAsia="方正小标宋简体"/>
          <w:b/>
          <w:sz w:val="32"/>
          <w:szCs w:val="32"/>
        </w:rPr>
        <w:t>名单</w:t>
      </w:r>
    </w:p>
    <w:p>
      <w:pPr>
        <w:jc w:val="center"/>
        <w:rPr>
          <w:rFonts w:eastAsia="方正小标宋简体"/>
          <w:b/>
          <w:sz w:val="32"/>
          <w:szCs w:val="32"/>
        </w:rPr>
      </w:pPr>
      <w:bookmarkStart w:id="0" w:name="_GoBack"/>
      <w:bookmarkEnd w:id="0"/>
    </w:p>
    <w:tbl>
      <w:tblPr>
        <w:tblStyle w:val="25"/>
        <w:tblW w:w="842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268"/>
        <w:gridCol w:w="3134"/>
        <w:gridCol w:w="14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代码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名称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学位授予</w:t>
            </w: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单位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级别</w:t>
            </w:r>
          </w:p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新疆艺术学院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硕士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</w:tbl>
    <w:p>
      <w:pPr>
        <w:spacing w:line="560" w:lineRule="exact"/>
        <w:rPr>
          <w:rFonts w:eastAsia="方正仿宋简体"/>
          <w:b/>
          <w:bCs/>
          <w:sz w:val="24"/>
        </w:rPr>
      </w:pPr>
    </w:p>
    <w:p>
      <w:pPr>
        <w:widowControl/>
        <w:jc w:val="left"/>
        <w:rPr>
          <w:rFonts w:eastAsia="仿宋_GB2312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附件2</w:t>
      </w:r>
    </w:p>
    <w:p>
      <w:pPr>
        <w:spacing w:after="120" w:afterLines="50"/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  <w:u w:val="none"/>
          <w:lang w:eastAsia="zh-CN"/>
        </w:rPr>
        <w:t>美术学</w:t>
      </w:r>
      <w:r>
        <w:rPr>
          <w:rFonts w:hint="eastAsia" w:eastAsia="方正小标宋简体"/>
          <w:b/>
          <w:sz w:val="32"/>
          <w:szCs w:val="32"/>
        </w:rPr>
        <w:t>一级学科学位授权点专项</w:t>
      </w:r>
      <w:r>
        <w:rPr>
          <w:rFonts w:eastAsia="方正小标宋简体"/>
          <w:b/>
          <w:sz w:val="32"/>
          <w:szCs w:val="32"/>
        </w:rPr>
        <w:t>评估</w:t>
      </w:r>
      <w:r>
        <w:rPr>
          <w:rFonts w:hint="eastAsia" w:eastAsia="方正小标宋简体"/>
          <w:b/>
          <w:sz w:val="32"/>
          <w:szCs w:val="32"/>
        </w:rPr>
        <w:t>要素</w:t>
      </w:r>
    </w:p>
    <w:tbl>
      <w:tblPr>
        <w:tblStyle w:val="2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419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</w:trPr>
        <w:tc>
          <w:tcPr>
            <w:tcW w:w="124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一级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要素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二级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要素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一、目标与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标准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培养目标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培养研究生的目标定位。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2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.学位标准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授予博士或硕士学位的基本标准。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二、师资队伍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3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.师资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规模和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结构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导师数量、</w:t>
            </w:r>
            <w:r>
              <w:rPr>
                <w:rFonts w:eastAsia="方正仿宋简体"/>
                <w:color w:val="000000"/>
                <w:sz w:val="24"/>
              </w:rPr>
              <w:t>年龄结构</w:t>
            </w:r>
            <w:r>
              <w:rPr>
                <w:rFonts w:hint="eastAsia" w:eastAsia="方正仿宋简体"/>
                <w:color w:val="000000"/>
                <w:sz w:val="24"/>
              </w:rPr>
              <w:t>、生师比情况</w:t>
            </w:r>
            <w:r>
              <w:rPr>
                <w:rFonts w:eastAsia="方正仿宋简体"/>
                <w:color w:val="00000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4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.师资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水平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导师学历、学位、专业技术职务、承担科研项目、所获学术成果和学术交流情况</w:t>
            </w:r>
            <w:r>
              <w:rPr>
                <w:rFonts w:eastAsia="方正仿宋简体"/>
                <w:color w:val="00000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三、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人才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培养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5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.招生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选拔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研究生报考数量、录取比例、录取人数、生源结构情况；为保证生源质量采取的措施。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6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.课程教学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开设的核心课程及主讲教师情况；课程教学质量和持续改进机制。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7.学术训练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研究生参与学术训练的情况，包括制度保证、经费支持等。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8学术交流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研究生参与国际国内学术交流的基本情况。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9.分流淘汰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研究生分流淘汰情况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10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.学位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论文质量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学位论文在各类论文抽检、评审中的情况和论文质量分析。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四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、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质量保证和教学支撑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11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.导师管理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导师队伍的选聘、培训、考核情况；导师指导研究生的制度要求和执行情况。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2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学风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建设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科学道德和学术规范教育情况；学术不端行为处罚情况。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3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.教学平台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支撑研究生学习、科研和学术交流的平台情况。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4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.奖助体系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研究生奖助体系的制度建设、奖助水平、覆盖面等情况。</w:t>
            </w:r>
          </w:p>
        </w:tc>
      </w:tr>
    </w:tbl>
    <w:p>
      <w:pPr>
        <w:spacing w:line="560" w:lineRule="exact"/>
        <w:rPr>
          <w:sz w:val="28"/>
          <w:szCs w:val="28"/>
        </w:rPr>
        <w:sectPr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>
      <w:pPr>
        <w:spacing w:after="156" w:afterLines="50" w:line="560" w:lineRule="exact"/>
        <w:jc w:val="center"/>
        <w:rPr>
          <w:rFonts w:eastAsia="方正小标宋简体" w:cs="宋体"/>
          <w:color w:val="000000"/>
        </w:rPr>
      </w:pPr>
    </w:p>
    <w:p>
      <w:pPr>
        <w:spacing w:after="156" w:afterLines="50" w:line="560" w:lineRule="exact"/>
        <w:rPr>
          <w:rFonts w:eastAsia="方正小标宋简体" w:cs="宋体"/>
          <w:color w:val="000000"/>
        </w:rPr>
      </w:pPr>
    </w:p>
    <w:p>
      <w:pPr>
        <w:spacing w:after="156" w:afterLines="50" w:line="560" w:lineRule="exact"/>
        <w:jc w:val="center"/>
        <w:rPr>
          <w:rFonts w:ascii="方正小标宋简体" w:hAnsi="宋体" w:eastAsia="方正小标宋简体"/>
          <w:b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/>
          <w:b/>
          <w:color w:val="000000"/>
          <w:sz w:val="52"/>
          <w:szCs w:val="52"/>
        </w:rPr>
        <w:t>学位授权点自我评估总结报告</w:t>
      </w:r>
    </w:p>
    <w:p>
      <w:pPr>
        <w:spacing w:after="156" w:afterLines="50" w:line="560" w:lineRule="exact"/>
        <w:jc w:val="center"/>
        <w:rPr>
          <w:rFonts w:ascii="方正小标宋简体" w:hAnsi="宋体" w:eastAsia="方正小标宋简体"/>
          <w:b/>
          <w:color w:val="000000"/>
          <w:sz w:val="44"/>
          <w:szCs w:val="44"/>
        </w:rPr>
      </w:pPr>
    </w:p>
    <w:p>
      <w:pPr>
        <w:spacing w:after="156" w:afterLines="50" w:line="560" w:lineRule="exact"/>
        <w:jc w:val="center"/>
        <w:rPr>
          <w:rFonts w:ascii="方正小标宋简体" w:hAnsi="宋体" w:eastAsia="方正小标宋简体"/>
          <w:b/>
          <w:color w:val="000000"/>
          <w:sz w:val="44"/>
          <w:szCs w:val="44"/>
        </w:rPr>
      </w:pPr>
    </w:p>
    <w:p>
      <w:pPr>
        <w:spacing w:after="156" w:afterLines="50" w:line="560" w:lineRule="exact"/>
        <w:jc w:val="center"/>
        <w:rPr>
          <w:rFonts w:ascii="方正小标宋简体" w:hAnsi="宋体" w:eastAsia="方正小标宋简体"/>
          <w:b/>
          <w:color w:val="000000"/>
          <w:sz w:val="44"/>
          <w:szCs w:val="44"/>
        </w:rPr>
      </w:pPr>
    </w:p>
    <w:p>
      <w:pPr>
        <w:spacing w:after="156" w:afterLines="50" w:line="560" w:lineRule="exact"/>
        <w:jc w:val="center"/>
        <w:rPr>
          <w:rFonts w:ascii="方正小标宋简体" w:hAnsi="宋体" w:eastAsia="方正小标宋简体"/>
          <w:b/>
          <w:color w:val="000000"/>
          <w:sz w:val="44"/>
          <w:szCs w:val="44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restart"/>
            <w:vAlign w:val="center"/>
          </w:tcPr>
          <w:p>
            <w:pPr>
              <w:spacing w:line="200" w:lineRule="atLeast"/>
              <w:jc w:val="distribute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color w:val="000000"/>
                <w:kern w:val="0"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continue"/>
            <w:vAlign w:val="top"/>
          </w:tcPr>
          <w:p>
            <w:pPr>
              <w:jc w:val="center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color w:val="000000"/>
          <w:sz w:val="30"/>
          <w:szCs w:val="30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restart"/>
            <w:vAlign w:val="center"/>
          </w:tcPr>
          <w:p>
            <w:pPr>
              <w:jc w:val="distribute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color w:val="000000"/>
                <w:kern w:val="0"/>
                <w:sz w:val="30"/>
                <w:szCs w:val="30"/>
              </w:rPr>
              <w:t>授权</w:t>
            </w:r>
            <w: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  <w:t>学科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continue"/>
            <w:vAlign w:val="top"/>
          </w:tcPr>
          <w:p>
            <w:pPr>
              <w:jc w:val="center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color w:val="000000"/>
          <w:sz w:val="30"/>
          <w:szCs w:val="30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restart"/>
            <w:vAlign w:val="center"/>
          </w:tcPr>
          <w:p>
            <w:pPr>
              <w:jc w:val="distribute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color w:val="000000"/>
                <w:kern w:val="0"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color w:val="000000"/>
                <w:kern w:val="0"/>
                <w:sz w:val="30"/>
                <w:szCs w:val="30"/>
              </w:rPr>
              <w:t>□  博  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vMerge w:val="continue"/>
            <w:vAlign w:val="top"/>
          </w:tcPr>
          <w:p>
            <w:pPr>
              <w:jc w:val="center"/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楷体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color w:val="000000"/>
                <w:kern w:val="0"/>
                <w:sz w:val="30"/>
                <w:szCs w:val="30"/>
              </w:rPr>
              <w:t>□  硕  士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color w:val="000000"/>
          <w:sz w:val="30"/>
          <w:szCs w:val="30"/>
        </w:rPr>
      </w:pPr>
    </w:p>
    <w:p>
      <w:pPr>
        <w:spacing w:line="720" w:lineRule="auto"/>
        <w:jc w:val="center"/>
        <w:rPr>
          <w:rFonts w:eastAsia="楷体_GB2312"/>
          <w:b/>
          <w:color w:val="000000"/>
          <w:sz w:val="30"/>
          <w:szCs w:val="30"/>
        </w:rPr>
      </w:pPr>
    </w:p>
    <w:p>
      <w:pPr>
        <w:jc w:val="center"/>
        <w:rPr>
          <w:rFonts w:eastAsia="楷体_GB2312"/>
          <w:b/>
          <w:color w:val="000000"/>
          <w:sz w:val="30"/>
          <w:szCs w:val="30"/>
        </w:rPr>
      </w:pPr>
      <w:r>
        <w:rPr>
          <w:rFonts w:eastAsia="楷体_GB2312"/>
          <w:b/>
          <w:color w:val="000000"/>
          <w:sz w:val="30"/>
          <w:szCs w:val="30"/>
        </w:rPr>
        <w:t>201</w:t>
      </w:r>
      <w:r>
        <w:rPr>
          <w:rFonts w:hint="eastAsia" w:eastAsia="楷体_GB2312"/>
          <w:b/>
          <w:color w:val="000000"/>
          <w:sz w:val="30"/>
          <w:szCs w:val="30"/>
        </w:rPr>
        <w:t>7</w:t>
      </w:r>
      <w:r>
        <w:rPr>
          <w:rFonts w:eastAsia="楷体_GB2312"/>
          <w:b/>
          <w:color w:val="000000"/>
          <w:sz w:val="30"/>
          <w:szCs w:val="30"/>
        </w:rPr>
        <w:t>年</w:t>
      </w:r>
      <w:r>
        <w:rPr>
          <w:rFonts w:hint="eastAsia" w:eastAsia="楷体_GB2312"/>
          <w:b/>
          <w:color w:val="000000"/>
          <w:sz w:val="30"/>
          <w:szCs w:val="30"/>
        </w:rPr>
        <w:t>3</w:t>
      </w:r>
      <w:r>
        <w:rPr>
          <w:rFonts w:eastAsia="楷体_GB2312"/>
          <w:b/>
          <w:color w:val="000000"/>
          <w:sz w:val="30"/>
          <w:szCs w:val="30"/>
        </w:rPr>
        <w:t>月</w:t>
      </w:r>
      <w:r>
        <w:rPr>
          <w:rFonts w:hint="eastAsia" w:eastAsia="楷体_GB2312"/>
          <w:b/>
          <w:color w:val="000000"/>
          <w:sz w:val="30"/>
          <w:szCs w:val="30"/>
        </w:rPr>
        <w:t>28</w:t>
      </w:r>
      <w:r>
        <w:rPr>
          <w:rFonts w:eastAsia="楷体_GB2312"/>
          <w:b/>
          <w:color w:val="000000"/>
          <w:sz w:val="30"/>
          <w:szCs w:val="30"/>
        </w:rPr>
        <w:t>日</w:t>
      </w:r>
    </w:p>
    <w:p>
      <w:pPr>
        <w:spacing w:after="156" w:afterLines="50" w:line="400" w:lineRule="exact"/>
        <w:jc w:val="center"/>
        <w:rPr>
          <w:rFonts w:eastAsia="方正小标宋简体"/>
          <w:b/>
          <w:color w:val="000000"/>
          <w:sz w:val="44"/>
          <w:szCs w:val="44"/>
        </w:rPr>
      </w:pPr>
      <w:r>
        <w:rPr>
          <w:rFonts w:eastAsia="方正小标宋简体"/>
          <w:b/>
          <w:color w:val="000000"/>
          <w:sz w:val="44"/>
          <w:szCs w:val="44"/>
        </w:rPr>
        <w:br w:type="page"/>
      </w:r>
    </w:p>
    <w:p>
      <w:pPr>
        <w:spacing w:after="156" w:afterLines="50" w:line="400" w:lineRule="exact"/>
        <w:jc w:val="center"/>
        <w:rPr>
          <w:rFonts w:eastAsia="方正小标宋简体"/>
          <w:b/>
          <w:color w:val="000000"/>
          <w:sz w:val="44"/>
          <w:szCs w:val="44"/>
        </w:rPr>
      </w:pPr>
    </w:p>
    <w:p>
      <w:pPr>
        <w:spacing w:after="156" w:afterLines="50" w:line="400" w:lineRule="exact"/>
        <w:jc w:val="center"/>
        <w:rPr>
          <w:rFonts w:eastAsia="楷体_GB2312"/>
          <w:b/>
          <w:color w:val="000000"/>
          <w:sz w:val="32"/>
          <w:szCs w:val="32"/>
        </w:rPr>
      </w:pPr>
    </w:p>
    <w:p>
      <w:pPr>
        <w:spacing w:after="156" w:afterLines="50" w:line="400" w:lineRule="exact"/>
        <w:jc w:val="center"/>
        <w:rPr>
          <w:rFonts w:eastAsia="楷体_GB2312"/>
          <w:b/>
          <w:color w:val="00000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编 写 说 明</w:t>
      </w:r>
    </w:p>
    <w:p>
      <w:pPr>
        <w:spacing w:after="156" w:afterLines="50" w:line="400" w:lineRule="exact"/>
        <w:jc w:val="center"/>
        <w:rPr>
          <w:rFonts w:eastAsia="楷体_GB2312"/>
          <w:b/>
          <w:color w:val="000000"/>
          <w:sz w:val="32"/>
          <w:szCs w:val="32"/>
        </w:rPr>
      </w:pPr>
    </w:p>
    <w:p>
      <w:pPr>
        <w:spacing w:line="400" w:lineRule="exact"/>
        <w:ind w:firstLine="480" w:firstLineChars="20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一、本</w:t>
      </w:r>
      <w:r>
        <w:rPr>
          <w:rFonts w:eastAsia="仿宋_GB2312"/>
          <w:color w:val="000000"/>
          <w:sz w:val="24"/>
        </w:rPr>
        <w:t>报告是</w:t>
      </w:r>
      <w:r>
        <w:rPr>
          <w:rFonts w:hint="eastAsia" w:eastAsia="仿宋_GB2312"/>
          <w:color w:val="000000"/>
          <w:sz w:val="24"/>
        </w:rPr>
        <w:t>学位授权点经过</w:t>
      </w:r>
      <w:r>
        <w:rPr>
          <w:rFonts w:eastAsia="仿宋_GB2312"/>
          <w:color w:val="000000"/>
          <w:sz w:val="24"/>
        </w:rPr>
        <w:t>自我评估</w:t>
      </w:r>
      <w:r>
        <w:rPr>
          <w:rFonts w:hint="eastAsia" w:eastAsia="仿宋_GB2312"/>
          <w:color w:val="000000"/>
          <w:sz w:val="24"/>
        </w:rPr>
        <w:t>的全面总结，分为两个个部分：学位授权点基本情况和</w:t>
      </w:r>
      <w:r>
        <w:rPr>
          <w:rFonts w:eastAsia="仿宋_GB2312"/>
          <w:color w:val="000000"/>
          <w:sz w:val="24"/>
        </w:rPr>
        <w:t>持续改进计划。</w:t>
      </w:r>
    </w:p>
    <w:p>
      <w:pPr>
        <w:spacing w:line="400" w:lineRule="exact"/>
        <w:ind w:firstLine="480" w:firstLineChars="20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二</w:t>
      </w:r>
      <w:r>
        <w:rPr>
          <w:rFonts w:eastAsia="仿宋_GB2312"/>
          <w:color w:val="000000"/>
          <w:sz w:val="24"/>
        </w:rPr>
        <w:t>、封面中单位代码按照《高等学校和科研机构学位与研究生管理信息标准》</w:t>
      </w:r>
      <w:r>
        <w:rPr>
          <w:rFonts w:hint="eastAsia" w:eastAsia="仿宋_GB2312"/>
          <w:color w:val="000000"/>
          <w:sz w:val="24"/>
        </w:rPr>
        <w:t>（</w:t>
      </w:r>
      <w:r>
        <w:rPr>
          <w:rFonts w:eastAsia="仿宋_GB2312"/>
          <w:color w:val="000000"/>
          <w:sz w:val="24"/>
        </w:rPr>
        <w:t>国务院学位委员会办公室编，2004年3月北京大学出版社出版</w:t>
      </w:r>
      <w:r>
        <w:rPr>
          <w:rFonts w:hint="eastAsia" w:eastAsia="仿宋_GB2312"/>
          <w:color w:val="000000"/>
          <w:sz w:val="24"/>
        </w:rPr>
        <w:t>）</w:t>
      </w:r>
      <w:r>
        <w:rPr>
          <w:rFonts w:eastAsia="仿宋_GB2312"/>
          <w:color w:val="000000"/>
          <w:sz w:val="24"/>
        </w:rPr>
        <w:t>中教育部《高等学校代码》（包括高等学校与科研机构）填写</w:t>
      </w:r>
      <w:r>
        <w:rPr>
          <w:rFonts w:hint="eastAsia" w:eastAsia="仿宋_GB2312"/>
          <w:color w:val="000000"/>
          <w:sz w:val="24"/>
        </w:rPr>
        <w:t>；学位授权点的</w:t>
      </w:r>
      <w:r>
        <w:rPr>
          <w:rFonts w:eastAsia="仿宋_GB2312"/>
          <w:color w:val="000000"/>
          <w:sz w:val="24"/>
        </w:rPr>
        <w:t>学科名称及代码按照国务院学位委员会</w:t>
      </w:r>
      <w:r>
        <w:rPr>
          <w:rFonts w:hint="eastAsia" w:eastAsia="仿宋_GB2312"/>
          <w:color w:val="000000"/>
          <w:sz w:val="24"/>
        </w:rPr>
        <w:t>和</w:t>
      </w:r>
      <w:r>
        <w:rPr>
          <w:rFonts w:eastAsia="仿宋_GB2312"/>
          <w:color w:val="000000"/>
          <w:sz w:val="24"/>
        </w:rPr>
        <w:t>教育</w:t>
      </w:r>
      <w:r>
        <w:rPr>
          <w:rFonts w:hint="eastAsia" w:eastAsia="仿宋_GB2312"/>
          <w:color w:val="000000"/>
          <w:sz w:val="24"/>
        </w:rPr>
        <w:t>部2011年印发</w:t>
      </w:r>
      <w:r>
        <w:rPr>
          <w:rFonts w:eastAsia="仿宋_GB2312"/>
          <w:color w:val="000000"/>
          <w:sz w:val="24"/>
        </w:rPr>
        <w:t>的《学位</w:t>
      </w:r>
      <w:r>
        <w:rPr>
          <w:rFonts w:hint="eastAsia" w:eastAsia="仿宋_GB2312"/>
          <w:color w:val="000000"/>
          <w:sz w:val="24"/>
        </w:rPr>
        <w:t>授予</w:t>
      </w:r>
      <w:r>
        <w:rPr>
          <w:rFonts w:eastAsia="仿宋_GB2312"/>
          <w:color w:val="000000"/>
          <w:sz w:val="24"/>
        </w:rPr>
        <w:t>和</w:t>
      </w:r>
      <w:r>
        <w:rPr>
          <w:rFonts w:hint="eastAsia" w:eastAsia="仿宋_GB2312"/>
          <w:color w:val="000000"/>
          <w:sz w:val="24"/>
        </w:rPr>
        <w:t>人才</w:t>
      </w:r>
      <w:r>
        <w:rPr>
          <w:rFonts w:eastAsia="仿宋_GB2312"/>
          <w:color w:val="000000"/>
          <w:sz w:val="24"/>
        </w:rPr>
        <w:t>培养学科目录》填写</w:t>
      </w:r>
      <w:r>
        <w:rPr>
          <w:rFonts w:hint="eastAsia" w:eastAsia="仿宋_GB2312"/>
          <w:color w:val="000000"/>
          <w:sz w:val="24"/>
        </w:rPr>
        <w:t>，只有二级学科学位授权点的，授权学科名称及代码按照国务院学位委员会和原国家教育委员会1997年颁布的《授予博士、硕士学位和培养研究生的学科、专业目录》填写；</w:t>
      </w:r>
      <w:r>
        <w:rPr>
          <w:rFonts w:eastAsia="仿宋_GB2312"/>
          <w:color w:val="000000"/>
          <w:sz w:val="24"/>
        </w:rPr>
        <w:t>同</w:t>
      </w:r>
      <w:r>
        <w:rPr>
          <w:rFonts w:hint="eastAsia" w:eastAsia="仿宋_GB2312"/>
          <w:color w:val="000000"/>
          <w:sz w:val="24"/>
        </w:rPr>
        <w:t>时获得博士、</w:t>
      </w:r>
      <w:r>
        <w:rPr>
          <w:rFonts w:eastAsia="仿宋_GB2312"/>
          <w:color w:val="000000"/>
          <w:sz w:val="24"/>
        </w:rPr>
        <w:t>硕士学位授权</w:t>
      </w:r>
      <w:r>
        <w:rPr>
          <w:rFonts w:hint="eastAsia" w:eastAsia="仿宋_GB2312"/>
          <w:color w:val="000000"/>
          <w:sz w:val="24"/>
        </w:rPr>
        <w:t>的</w:t>
      </w:r>
      <w:r>
        <w:rPr>
          <w:rFonts w:eastAsia="仿宋_GB2312"/>
          <w:color w:val="000000"/>
          <w:sz w:val="24"/>
        </w:rPr>
        <w:t>学科</w:t>
      </w:r>
      <w:r>
        <w:rPr>
          <w:rFonts w:hint="eastAsia" w:eastAsia="仿宋_GB2312"/>
          <w:color w:val="000000"/>
          <w:sz w:val="24"/>
        </w:rPr>
        <w:t>，授权级别选“博士”；只获得</w:t>
      </w:r>
      <w:r>
        <w:rPr>
          <w:rFonts w:eastAsia="仿宋_GB2312"/>
          <w:color w:val="000000"/>
          <w:sz w:val="24"/>
        </w:rPr>
        <w:t>硕士学位授权</w:t>
      </w:r>
      <w:r>
        <w:rPr>
          <w:rFonts w:hint="eastAsia" w:eastAsia="仿宋_GB2312"/>
          <w:color w:val="000000"/>
          <w:sz w:val="24"/>
        </w:rPr>
        <w:t>的</w:t>
      </w:r>
      <w:r>
        <w:rPr>
          <w:rFonts w:eastAsia="仿宋_GB2312"/>
          <w:color w:val="000000"/>
          <w:sz w:val="24"/>
        </w:rPr>
        <w:t>学科</w:t>
      </w:r>
      <w:r>
        <w:rPr>
          <w:rFonts w:hint="eastAsia" w:eastAsia="仿宋_GB2312"/>
          <w:color w:val="000000"/>
          <w:sz w:val="24"/>
        </w:rPr>
        <w:t>，授权级别选“硕士”</w:t>
      </w:r>
      <w:r>
        <w:rPr>
          <w:rFonts w:eastAsia="仿宋_GB2312"/>
          <w:color w:val="000000"/>
          <w:sz w:val="24"/>
        </w:rPr>
        <w:t>。</w:t>
      </w:r>
    </w:p>
    <w:p>
      <w:pPr>
        <w:spacing w:line="400" w:lineRule="exact"/>
        <w:ind w:firstLine="488" w:firstLineChars="20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pacing w:val="2"/>
          <w:sz w:val="24"/>
        </w:rPr>
        <w:t>三</w:t>
      </w:r>
      <w:r>
        <w:rPr>
          <w:rFonts w:eastAsia="仿宋_GB2312"/>
          <w:color w:val="000000"/>
          <w:spacing w:val="2"/>
          <w:sz w:val="24"/>
        </w:rPr>
        <w:t>、本</w:t>
      </w:r>
      <w:r>
        <w:rPr>
          <w:rFonts w:hint="eastAsia" w:eastAsia="仿宋_GB2312"/>
          <w:color w:val="000000"/>
          <w:spacing w:val="2"/>
          <w:sz w:val="24"/>
        </w:rPr>
        <w:t>报告采取写实性描述，能用数据定量描述的，不得定性描述。定量数据除总量外，尽可能用师均、生均或比例描述。报告中所描述的内容和数据</w:t>
      </w:r>
      <w:r>
        <w:rPr>
          <w:rFonts w:eastAsia="仿宋_GB2312"/>
          <w:color w:val="000000"/>
          <w:spacing w:val="2"/>
          <w:sz w:val="24"/>
        </w:rPr>
        <w:t>应确属本学</w:t>
      </w:r>
      <w:r>
        <w:rPr>
          <w:rFonts w:hint="eastAsia" w:eastAsia="仿宋_GB2312"/>
          <w:color w:val="000000"/>
          <w:spacing w:val="2"/>
          <w:sz w:val="24"/>
        </w:rPr>
        <w:t>位点</w:t>
      </w:r>
      <w:r>
        <w:rPr>
          <w:rFonts w:eastAsia="仿宋_GB2312"/>
          <w:color w:val="000000"/>
          <w:spacing w:val="2"/>
          <w:sz w:val="24"/>
        </w:rPr>
        <w:t>，必须</w:t>
      </w:r>
      <w:r>
        <w:rPr>
          <w:rFonts w:hint="eastAsia" w:eastAsia="仿宋_GB2312"/>
          <w:color w:val="000000"/>
          <w:spacing w:val="2"/>
          <w:sz w:val="24"/>
        </w:rPr>
        <w:t>真实、</w:t>
      </w:r>
      <w:r>
        <w:rPr>
          <w:rFonts w:eastAsia="仿宋_GB2312"/>
          <w:color w:val="000000"/>
          <w:sz w:val="24"/>
        </w:rPr>
        <w:t>准确</w:t>
      </w:r>
      <w:r>
        <w:rPr>
          <w:rFonts w:hint="eastAsia" w:eastAsia="仿宋_GB2312"/>
          <w:color w:val="000000"/>
          <w:sz w:val="24"/>
        </w:rPr>
        <w:t>，</w:t>
      </w:r>
      <w:r>
        <w:rPr>
          <w:rFonts w:eastAsia="仿宋_GB2312"/>
          <w:color w:val="000000"/>
          <w:sz w:val="24"/>
        </w:rPr>
        <w:t>有据可查</w:t>
      </w:r>
      <w:r>
        <w:rPr>
          <w:rFonts w:hint="eastAsia" w:eastAsia="仿宋_GB2312"/>
          <w:color w:val="000000"/>
          <w:sz w:val="24"/>
        </w:rPr>
        <w:t>。</w:t>
      </w:r>
    </w:p>
    <w:p>
      <w:pPr>
        <w:spacing w:line="400" w:lineRule="exact"/>
        <w:ind w:firstLine="480" w:firstLineChars="200"/>
        <w:rPr>
          <w:rFonts w:eastAsia="仿宋_GB2312"/>
          <w:color w:val="000000"/>
          <w:spacing w:val="2"/>
          <w:sz w:val="24"/>
        </w:rPr>
      </w:pPr>
      <w:r>
        <w:rPr>
          <w:rFonts w:hint="eastAsia" w:eastAsia="仿宋_GB2312"/>
          <w:color w:val="000000"/>
          <w:sz w:val="24"/>
        </w:rPr>
        <w:t>四、本报告的</w:t>
      </w:r>
      <w:r>
        <w:rPr>
          <w:rFonts w:hint="eastAsia" w:eastAsia="仿宋_GB2312"/>
          <w:color w:val="000000"/>
          <w:spacing w:val="2"/>
          <w:sz w:val="24"/>
        </w:rPr>
        <w:t>各项内容须是本学位点近5年来的情况，统计时间以本报告撰写时间为截止时间，往前推算5年为起始时间。</w:t>
      </w:r>
    </w:p>
    <w:p>
      <w:pPr>
        <w:spacing w:line="400" w:lineRule="exact"/>
        <w:ind w:firstLine="540" w:firstLineChars="225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五</w:t>
      </w:r>
      <w:r>
        <w:rPr>
          <w:rFonts w:eastAsia="仿宋_GB2312"/>
          <w:color w:val="000000"/>
          <w:sz w:val="24"/>
        </w:rPr>
        <w:t>、</w:t>
      </w:r>
      <w:r>
        <w:rPr>
          <w:rFonts w:hint="eastAsia" w:eastAsia="仿宋_GB2312"/>
          <w:color w:val="000000"/>
          <w:sz w:val="24"/>
        </w:rPr>
        <w:t>除特别注明的兼职导师外，</w:t>
      </w:r>
      <w:r>
        <w:rPr>
          <w:rFonts w:eastAsia="仿宋_GB2312"/>
          <w:color w:val="000000"/>
          <w:sz w:val="24"/>
        </w:rPr>
        <w:t>本</w:t>
      </w:r>
      <w:r>
        <w:rPr>
          <w:rFonts w:hint="eastAsia" w:eastAsia="仿宋_GB2312"/>
          <w:color w:val="000000"/>
          <w:sz w:val="24"/>
        </w:rPr>
        <w:t>报告</w:t>
      </w:r>
      <w:r>
        <w:rPr>
          <w:rFonts w:eastAsia="仿宋_GB2312"/>
          <w:color w:val="000000"/>
          <w:sz w:val="24"/>
        </w:rPr>
        <w:t>所涉及的</w:t>
      </w:r>
      <w:r>
        <w:rPr>
          <w:rFonts w:hint="eastAsia" w:eastAsia="仿宋_GB2312"/>
          <w:color w:val="000000"/>
          <w:sz w:val="24"/>
        </w:rPr>
        <w:t>师资</w:t>
      </w:r>
      <w:r>
        <w:rPr>
          <w:rFonts w:eastAsia="仿宋_GB2312"/>
          <w:color w:val="000000"/>
          <w:sz w:val="24"/>
        </w:rPr>
        <w:t>均指</w:t>
      </w:r>
      <w:r>
        <w:rPr>
          <w:rFonts w:hint="eastAsia" w:eastAsia="仿宋_GB2312"/>
          <w:color w:val="000000"/>
          <w:sz w:val="24"/>
        </w:rPr>
        <w:t>目前</w:t>
      </w:r>
      <w:r>
        <w:rPr>
          <w:rFonts w:eastAsia="仿宋_GB2312"/>
          <w:color w:val="000000"/>
          <w:sz w:val="24"/>
        </w:rPr>
        <w:t>人事关系隶属本</w:t>
      </w:r>
      <w:r>
        <w:rPr>
          <w:rFonts w:hint="eastAsia" w:eastAsia="仿宋_GB2312"/>
          <w:color w:val="000000"/>
          <w:sz w:val="24"/>
        </w:rPr>
        <w:t>单位的</w:t>
      </w:r>
      <w:r>
        <w:rPr>
          <w:rFonts w:eastAsia="仿宋_GB2312"/>
          <w:color w:val="000000"/>
          <w:sz w:val="24"/>
        </w:rPr>
        <w:t>专职人员</w:t>
      </w:r>
      <w:r>
        <w:rPr>
          <w:rFonts w:hint="eastAsia" w:eastAsia="仿宋_GB2312"/>
          <w:color w:val="000000"/>
          <w:sz w:val="24"/>
        </w:rPr>
        <w:t>（同一人员原则上不得在不同学术学位点重复填写）。</w:t>
      </w:r>
    </w:p>
    <w:p>
      <w:pPr>
        <w:spacing w:line="400" w:lineRule="exact"/>
        <w:ind w:firstLine="540" w:firstLineChars="225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六、</w:t>
      </w:r>
      <w:r>
        <w:rPr>
          <w:rFonts w:eastAsia="仿宋_GB2312"/>
          <w:color w:val="000000"/>
          <w:sz w:val="24"/>
        </w:rPr>
        <w:t>本</w:t>
      </w:r>
      <w:r>
        <w:rPr>
          <w:rFonts w:hint="eastAsia" w:eastAsia="仿宋_GB2312"/>
          <w:color w:val="000000"/>
          <w:sz w:val="24"/>
        </w:rPr>
        <w:t>报告</w:t>
      </w:r>
      <w:r>
        <w:rPr>
          <w:rFonts w:eastAsia="仿宋_GB2312"/>
          <w:color w:val="000000"/>
          <w:sz w:val="24"/>
        </w:rPr>
        <w:t>中所涉及的成果（论文、专著、专利、科研奖励、教学成果奖励等）</w:t>
      </w:r>
      <w:r>
        <w:rPr>
          <w:rFonts w:hint="eastAsia" w:eastAsia="仿宋_GB2312"/>
          <w:color w:val="000000"/>
          <w:sz w:val="24"/>
        </w:rPr>
        <w:t>应是署名本单位，且同一人员的同一成果不得在不同学术学位点重复填写。</w:t>
      </w:r>
      <w:r>
        <w:rPr>
          <w:rFonts w:eastAsia="仿宋_GB2312"/>
          <w:color w:val="000000"/>
          <w:sz w:val="24"/>
        </w:rPr>
        <w:t>引进人员在调入本学</w:t>
      </w:r>
      <w:r>
        <w:rPr>
          <w:rFonts w:hint="eastAsia" w:eastAsia="仿宋_GB2312"/>
          <w:color w:val="000000"/>
          <w:sz w:val="24"/>
        </w:rPr>
        <w:t>位</w:t>
      </w:r>
      <w:r>
        <w:rPr>
          <w:rFonts w:eastAsia="仿宋_GB2312"/>
          <w:color w:val="000000"/>
          <w:sz w:val="24"/>
        </w:rPr>
        <w:t>点之前署名其他单位所获得的成果不填写、不统计。</w:t>
      </w:r>
    </w:p>
    <w:p>
      <w:pPr>
        <w:spacing w:line="400" w:lineRule="exact"/>
        <w:ind w:firstLine="480" w:firstLineChars="200"/>
        <w:rPr>
          <w:rFonts w:eastAsia="仿宋_GB2312"/>
          <w:color w:val="000000"/>
          <w:spacing w:val="2"/>
          <w:sz w:val="24"/>
        </w:rPr>
      </w:pPr>
      <w:r>
        <w:rPr>
          <w:rFonts w:hint="eastAsia" w:eastAsia="仿宋_GB2312"/>
          <w:color w:val="000000"/>
          <w:sz w:val="24"/>
        </w:rPr>
        <w:t>七、</w:t>
      </w:r>
      <w:r>
        <w:rPr>
          <w:rFonts w:hint="eastAsia" w:eastAsia="仿宋_GB2312"/>
          <w:color w:val="000000"/>
          <w:spacing w:val="2"/>
          <w:sz w:val="24"/>
        </w:rPr>
        <w:t>涉及国家机密的内容一律按国家有关保密规定进行脱密处理后编写。</w:t>
      </w: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  <w:r>
        <w:rPr>
          <w:rFonts w:hint="eastAsia" w:eastAsia="仿宋_GB2312"/>
          <w:color w:val="000000"/>
          <w:spacing w:val="2"/>
          <w:sz w:val="24"/>
        </w:rPr>
        <w:t>八、</w:t>
      </w:r>
      <w:r>
        <w:rPr>
          <w:rFonts w:eastAsia="仿宋_GB2312"/>
          <w:color w:val="000000"/>
          <w:spacing w:val="2"/>
          <w:sz w:val="24"/>
        </w:rPr>
        <w:t>本</w:t>
      </w:r>
      <w:r>
        <w:rPr>
          <w:rFonts w:hint="eastAsia" w:eastAsia="仿宋_GB2312"/>
          <w:color w:val="000000"/>
          <w:spacing w:val="2"/>
          <w:sz w:val="24"/>
        </w:rPr>
        <w:t>报告正文</w:t>
      </w:r>
      <w:r>
        <w:rPr>
          <w:rFonts w:eastAsia="仿宋_GB2312"/>
          <w:color w:val="000000"/>
          <w:spacing w:val="2"/>
          <w:sz w:val="24"/>
        </w:rPr>
        <w:t>使用</w:t>
      </w:r>
      <w:r>
        <w:rPr>
          <w:rFonts w:hint="eastAsia" w:eastAsia="仿宋_GB2312"/>
          <w:color w:val="000000"/>
          <w:spacing w:val="2"/>
          <w:sz w:val="24"/>
        </w:rPr>
        <w:t>四</w:t>
      </w:r>
      <w:r>
        <w:rPr>
          <w:rFonts w:eastAsia="仿宋_GB2312"/>
          <w:color w:val="000000"/>
          <w:spacing w:val="2"/>
          <w:sz w:val="24"/>
        </w:rPr>
        <w:t>号宋体</w:t>
      </w:r>
      <w:r>
        <w:rPr>
          <w:rFonts w:hint="eastAsia" w:eastAsia="仿宋_GB2312"/>
          <w:color w:val="000000"/>
          <w:spacing w:val="2"/>
          <w:sz w:val="24"/>
        </w:rPr>
        <w:t>，字数</w:t>
      </w:r>
      <w:r>
        <w:rPr>
          <w:rFonts w:eastAsia="仿宋_GB2312"/>
          <w:color w:val="000000"/>
          <w:spacing w:val="2"/>
          <w:sz w:val="24"/>
        </w:rPr>
        <w:t>不超过</w:t>
      </w:r>
      <w:r>
        <w:rPr>
          <w:rFonts w:hint="eastAsia" w:eastAsia="仿宋_GB2312"/>
          <w:color w:val="000000"/>
          <w:spacing w:val="2"/>
          <w:sz w:val="24"/>
        </w:rPr>
        <w:t>8000</w:t>
      </w:r>
      <w:r>
        <w:rPr>
          <w:rFonts w:eastAsia="仿宋_GB2312"/>
          <w:color w:val="000000"/>
          <w:spacing w:val="2"/>
          <w:sz w:val="24"/>
        </w:rPr>
        <w:t>字</w:t>
      </w:r>
      <w:r>
        <w:rPr>
          <w:rFonts w:hint="eastAsia" w:eastAsia="仿宋_GB2312"/>
          <w:color w:val="000000"/>
          <w:spacing w:val="2"/>
          <w:sz w:val="24"/>
        </w:rPr>
        <w:t>，</w:t>
      </w:r>
      <w:r>
        <w:rPr>
          <w:rFonts w:eastAsia="仿宋_GB2312"/>
          <w:color w:val="000000"/>
          <w:spacing w:val="2"/>
          <w:sz w:val="24"/>
        </w:rPr>
        <w:t>纸张限用A4。</w:t>
      </w: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spacing w:line="400" w:lineRule="exact"/>
        <w:ind w:firstLine="488" w:firstLineChars="200"/>
        <w:rPr>
          <w:rFonts w:eastAsia="仿宋_GB2312"/>
          <w:color w:val="000000"/>
          <w:spacing w:val="2"/>
          <w:sz w:val="24"/>
        </w:rPr>
      </w:pPr>
    </w:p>
    <w:p>
      <w:pPr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第一部分 博</w:t>
      </w:r>
      <w:r>
        <w:rPr>
          <w:rFonts w:hint="eastAsia" w:ascii="Times New Roman" w:hAnsi="Times New Roman" w:cs="Times New Roman"/>
          <w:b/>
          <w:bCs/>
          <w:color w:val="000000"/>
          <w:sz w:val="28"/>
          <w:szCs w:val="28"/>
        </w:rPr>
        <w:t>（硕）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士学位授权一级学科基本情况</w:t>
      </w:r>
    </w:p>
    <w:tbl>
      <w:tblPr>
        <w:tblStyle w:val="2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417"/>
        <w:gridCol w:w="1326"/>
        <w:gridCol w:w="92"/>
        <w:gridCol w:w="992"/>
        <w:gridCol w:w="1984"/>
        <w:gridCol w:w="915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8522" w:type="dxa"/>
            <w:gridSpan w:val="8"/>
            <w:vAlign w:val="top"/>
          </w:tcPr>
          <w:p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（硕）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士学位授权一级学科概况</w:t>
            </w: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754" w:firstLineChars="24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94" w:hRule="atLeast"/>
        </w:trPr>
        <w:tc>
          <w:tcPr>
            <w:tcW w:w="8500" w:type="dxa"/>
            <w:gridSpan w:val="7"/>
            <w:tcBorders>
              <w:top w:val="single" w:color="auto" w:sz="4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二、博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（硕）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士学位授予权二级学科的特色和人才培养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69" w:hRule="atLeast"/>
        </w:trPr>
        <w:tc>
          <w:tcPr>
            <w:tcW w:w="4517" w:type="dxa"/>
            <w:gridSpan w:val="3"/>
            <w:vAlign w:val="top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（硕）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士学位授权二级学科名称</w:t>
            </w:r>
          </w:p>
        </w:tc>
        <w:tc>
          <w:tcPr>
            <w:tcW w:w="3983" w:type="dxa"/>
            <w:gridSpan w:val="4"/>
            <w:vAlign w:val="top"/>
          </w:tcPr>
          <w:p>
            <w:pPr>
              <w:spacing w:after="156" w:afterLines="50" w:line="5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2451" w:hRule="atLeast"/>
        </w:trPr>
        <w:tc>
          <w:tcPr>
            <w:tcW w:w="8500" w:type="dxa"/>
            <w:gridSpan w:val="7"/>
            <w:vAlign w:val="top"/>
          </w:tcPr>
          <w:p>
            <w:pPr>
              <w:spacing w:line="440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（一）特色和人才培养水平</w:t>
            </w: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15" w:hRule="atLeast"/>
        </w:trPr>
        <w:tc>
          <w:tcPr>
            <w:tcW w:w="8500" w:type="dxa"/>
            <w:gridSpan w:val="7"/>
            <w:vAlign w:val="top"/>
          </w:tcPr>
          <w:p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（二）师资队伍情况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63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人员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专业技术职务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914" w:hRule="atLeast"/>
        </w:trPr>
        <w:tc>
          <w:tcPr>
            <w:tcW w:w="1774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学术带头人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学术骨干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</w:trPr>
        <w:tc>
          <w:tcPr>
            <w:tcW w:w="1774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注:每个研究方向限填1名带头人；各研究方向人员要详细填写。</w:t>
      </w:r>
    </w:p>
    <w:p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tbl>
      <w:tblPr>
        <w:tblStyle w:val="25"/>
        <w:tblW w:w="848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848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代表性研究成果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rPr>
          <w:vanish/>
        </w:rPr>
      </w:pPr>
    </w:p>
    <w:p>
      <w:pPr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第二部分 持续改进计划</w:t>
      </w:r>
    </w:p>
    <w:tbl>
      <w:tblPr>
        <w:tblStyle w:val="25"/>
        <w:tblW w:w="864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8" w:type="dxa"/>
            <w:vAlign w:val="top"/>
          </w:tcPr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spacing w:line="312" w:lineRule="auto"/>
              <w:ind w:firstLine="549" w:firstLineChars="19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宋体" w:hAnsi="宋体" w:cs="宋体"/>
          <w:spacing w:val="2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</w:p>
    <w:p>
      <w:pPr>
        <w:spacing w:line="560" w:lineRule="exact"/>
        <w:rPr>
          <w:sz w:val="28"/>
          <w:szCs w:val="28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tabs>
        <w:tab w:val="center" w:pos="7719"/>
      </w:tabs>
      <w:kinsoku w:val="0"/>
      <w:overflowPunct w:val="0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8BC8D"/>
    <w:multiLevelType w:val="singleLevel"/>
    <w:tmpl w:val="5608BC8D"/>
    <w:lvl w:ilvl="0" w:tentative="0">
      <w:start w:val="3"/>
      <w:numFmt w:val="chineseCounting"/>
      <w:suff w:val="nothing"/>
      <w:lvlText w:val="（%1）"/>
      <w:lvlJc w:val="left"/>
    </w:lvl>
  </w:abstractNum>
  <w:abstractNum w:abstractNumId="1">
    <w:nsid w:val="66116A3E"/>
    <w:multiLevelType w:val="multilevel"/>
    <w:tmpl w:val="66116A3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F9"/>
    <w:rsid w:val="0000770E"/>
    <w:rsid w:val="00032C4B"/>
    <w:rsid w:val="0004090F"/>
    <w:rsid w:val="00060ADD"/>
    <w:rsid w:val="000665D5"/>
    <w:rsid w:val="000949DC"/>
    <w:rsid w:val="000B531C"/>
    <w:rsid w:val="000C0A67"/>
    <w:rsid w:val="000C3293"/>
    <w:rsid w:val="000E070E"/>
    <w:rsid w:val="000E0832"/>
    <w:rsid w:val="001968AD"/>
    <w:rsid w:val="001A29EF"/>
    <w:rsid w:val="001C140F"/>
    <w:rsid w:val="001D14D3"/>
    <w:rsid w:val="001E5F21"/>
    <w:rsid w:val="001E6706"/>
    <w:rsid w:val="002074E6"/>
    <w:rsid w:val="002401E3"/>
    <w:rsid w:val="00256F88"/>
    <w:rsid w:val="002638E4"/>
    <w:rsid w:val="0028639B"/>
    <w:rsid w:val="002946F9"/>
    <w:rsid w:val="002C276C"/>
    <w:rsid w:val="002C61A5"/>
    <w:rsid w:val="002E1629"/>
    <w:rsid w:val="00320031"/>
    <w:rsid w:val="00327FE0"/>
    <w:rsid w:val="00336E7B"/>
    <w:rsid w:val="003A4F6A"/>
    <w:rsid w:val="003A6679"/>
    <w:rsid w:val="003B3ED2"/>
    <w:rsid w:val="003B606D"/>
    <w:rsid w:val="003C55CE"/>
    <w:rsid w:val="00417740"/>
    <w:rsid w:val="00423976"/>
    <w:rsid w:val="00441705"/>
    <w:rsid w:val="004507AD"/>
    <w:rsid w:val="004601E8"/>
    <w:rsid w:val="00472ECC"/>
    <w:rsid w:val="00493243"/>
    <w:rsid w:val="004973DE"/>
    <w:rsid w:val="004A641F"/>
    <w:rsid w:val="004C4DEE"/>
    <w:rsid w:val="004D6592"/>
    <w:rsid w:val="00524AFB"/>
    <w:rsid w:val="00527EA4"/>
    <w:rsid w:val="005444CB"/>
    <w:rsid w:val="0054482C"/>
    <w:rsid w:val="0055104B"/>
    <w:rsid w:val="00552540"/>
    <w:rsid w:val="00556783"/>
    <w:rsid w:val="00561557"/>
    <w:rsid w:val="00567F75"/>
    <w:rsid w:val="005A137B"/>
    <w:rsid w:val="005B3323"/>
    <w:rsid w:val="005D466E"/>
    <w:rsid w:val="005E2BF9"/>
    <w:rsid w:val="005F1095"/>
    <w:rsid w:val="00623D34"/>
    <w:rsid w:val="0062778C"/>
    <w:rsid w:val="00637C36"/>
    <w:rsid w:val="006B49B8"/>
    <w:rsid w:val="00706548"/>
    <w:rsid w:val="00710C1A"/>
    <w:rsid w:val="0072743F"/>
    <w:rsid w:val="007372E7"/>
    <w:rsid w:val="00750721"/>
    <w:rsid w:val="00766FC1"/>
    <w:rsid w:val="007A499C"/>
    <w:rsid w:val="007A6A3D"/>
    <w:rsid w:val="007B4A66"/>
    <w:rsid w:val="007B78EB"/>
    <w:rsid w:val="007D658A"/>
    <w:rsid w:val="007E3865"/>
    <w:rsid w:val="007F7E59"/>
    <w:rsid w:val="008158A3"/>
    <w:rsid w:val="00815F5A"/>
    <w:rsid w:val="00872037"/>
    <w:rsid w:val="008878FD"/>
    <w:rsid w:val="008B4799"/>
    <w:rsid w:val="008D228F"/>
    <w:rsid w:val="008E5D4B"/>
    <w:rsid w:val="009322DB"/>
    <w:rsid w:val="009D1272"/>
    <w:rsid w:val="009F1B50"/>
    <w:rsid w:val="009F50C8"/>
    <w:rsid w:val="009F51BF"/>
    <w:rsid w:val="00A247C6"/>
    <w:rsid w:val="00A75CD5"/>
    <w:rsid w:val="00A76B74"/>
    <w:rsid w:val="00A77970"/>
    <w:rsid w:val="00A841A8"/>
    <w:rsid w:val="00A96FB6"/>
    <w:rsid w:val="00AB2D52"/>
    <w:rsid w:val="00AB6737"/>
    <w:rsid w:val="00AE013F"/>
    <w:rsid w:val="00B00F77"/>
    <w:rsid w:val="00B357B2"/>
    <w:rsid w:val="00B517C8"/>
    <w:rsid w:val="00B65E15"/>
    <w:rsid w:val="00B8733A"/>
    <w:rsid w:val="00C51139"/>
    <w:rsid w:val="00C62817"/>
    <w:rsid w:val="00C84CEC"/>
    <w:rsid w:val="00CB1D29"/>
    <w:rsid w:val="00CB56FF"/>
    <w:rsid w:val="00CE2415"/>
    <w:rsid w:val="00CE2498"/>
    <w:rsid w:val="00D24885"/>
    <w:rsid w:val="00D31DDE"/>
    <w:rsid w:val="00D73722"/>
    <w:rsid w:val="00D873EF"/>
    <w:rsid w:val="00D91FD4"/>
    <w:rsid w:val="00DA52FA"/>
    <w:rsid w:val="00DB6E35"/>
    <w:rsid w:val="00E041E1"/>
    <w:rsid w:val="00E27BA3"/>
    <w:rsid w:val="00E33306"/>
    <w:rsid w:val="00E70E0E"/>
    <w:rsid w:val="00E724BE"/>
    <w:rsid w:val="00E74C63"/>
    <w:rsid w:val="00E76A97"/>
    <w:rsid w:val="00E835E7"/>
    <w:rsid w:val="00E84C1E"/>
    <w:rsid w:val="00EC0B9C"/>
    <w:rsid w:val="00ED6A46"/>
    <w:rsid w:val="00EE407C"/>
    <w:rsid w:val="00F05F1B"/>
    <w:rsid w:val="00F21AA9"/>
    <w:rsid w:val="00F41A8F"/>
    <w:rsid w:val="00F42640"/>
    <w:rsid w:val="00F95D0E"/>
    <w:rsid w:val="00FA369D"/>
    <w:rsid w:val="00FE7F1E"/>
    <w:rsid w:val="00FF0701"/>
    <w:rsid w:val="014618C9"/>
    <w:rsid w:val="01DB134C"/>
    <w:rsid w:val="09436C21"/>
    <w:rsid w:val="52E8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8">
    <w:name w:val="Default Paragraph Font"/>
    <w:unhideWhenUsed/>
    <w:qFormat/>
    <w:uiPriority w:val="1"/>
  </w:style>
  <w:style w:type="table" w:default="1" w:styleId="2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40"/>
    <w:uiPriority w:val="0"/>
    <w:rPr>
      <w:b/>
      <w:bCs/>
    </w:rPr>
  </w:style>
  <w:style w:type="paragraph" w:styleId="4">
    <w:name w:val="annotation text"/>
    <w:basedOn w:val="1"/>
    <w:link w:val="39"/>
    <w:uiPriority w:val="0"/>
    <w:pPr>
      <w:jc w:val="left"/>
    </w:pPr>
    <w:rPr>
      <w:lang w:val="zh-CN" w:eastAsia="zh-CN"/>
    </w:rPr>
  </w:style>
  <w:style w:type="paragraph" w:styleId="5">
    <w:name w:val="caption"/>
    <w:basedOn w:val="1"/>
    <w:next w:val="1"/>
    <w:qFormat/>
    <w:uiPriority w:val="0"/>
    <w:rPr>
      <w:rFonts w:ascii="Calibri" w:hAnsi="Calibri"/>
      <w:sz w:val="20"/>
      <w:szCs w:val="20"/>
    </w:rPr>
  </w:style>
  <w:style w:type="paragraph" w:styleId="6">
    <w:name w:val="Body Text"/>
    <w:basedOn w:val="1"/>
    <w:link w:val="41"/>
    <w:uiPriority w:val="0"/>
    <w:pPr>
      <w:spacing w:after="120"/>
    </w:pPr>
  </w:style>
  <w:style w:type="paragraph" w:styleId="7">
    <w:name w:val="Body Text Indent"/>
    <w:basedOn w:val="1"/>
    <w:link w:val="32"/>
    <w:uiPriority w:val="0"/>
    <w:pPr>
      <w:ind w:firstLine="640" w:firstLineChars="200"/>
    </w:pPr>
    <w:rPr>
      <w:rFonts w:ascii="仿宋_GB2312" w:hAnsi="宋体" w:eastAsia="仿宋_GB2312"/>
      <w:sz w:val="32"/>
      <w:szCs w:val="28"/>
    </w:rPr>
  </w:style>
  <w:style w:type="paragraph" w:styleId="8">
    <w:name w:val="Plain Text"/>
    <w:basedOn w:val="1"/>
    <w:link w:val="44"/>
    <w:uiPriority w:val="0"/>
    <w:rPr>
      <w:rFonts w:ascii="宋体" w:hAnsi="Courier New"/>
      <w:szCs w:val="20"/>
    </w:rPr>
  </w:style>
  <w:style w:type="paragraph" w:styleId="9">
    <w:name w:val="Date"/>
    <w:basedOn w:val="1"/>
    <w:next w:val="1"/>
    <w:link w:val="31"/>
    <w:uiPriority w:val="99"/>
    <w:pPr>
      <w:ind w:left="100" w:leftChars="2500"/>
    </w:pPr>
  </w:style>
  <w:style w:type="paragraph" w:styleId="10">
    <w:name w:val="Body Text Indent 2"/>
    <w:basedOn w:val="1"/>
    <w:link w:val="33"/>
    <w:uiPriority w:val="0"/>
    <w:pPr>
      <w:spacing w:after="120" w:line="480" w:lineRule="auto"/>
      <w:ind w:left="420"/>
    </w:pPr>
  </w:style>
  <w:style w:type="paragraph" w:styleId="11">
    <w:name w:val="Balloon Text"/>
    <w:basedOn w:val="1"/>
    <w:link w:val="37"/>
    <w:qFormat/>
    <w:uiPriority w:val="0"/>
    <w:rPr>
      <w:sz w:val="18"/>
      <w:szCs w:val="18"/>
      <w:lang w:val="zh-CN" w:eastAsia="zh-CN"/>
    </w:rPr>
  </w:style>
  <w:style w:type="paragraph" w:styleId="12">
    <w:name w:val="footer"/>
    <w:basedOn w:val="1"/>
    <w:link w:val="2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14">
    <w:name w:val="toc 1"/>
    <w:basedOn w:val="1"/>
    <w:next w:val="1"/>
    <w:unhideWhenUsed/>
    <w:uiPriority w:val="39"/>
    <w:pPr>
      <w:tabs>
        <w:tab w:val="right" w:leader="dot" w:pos="8296"/>
      </w:tabs>
      <w:jc w:val="center"/>
    </w:pPr>
    <w:rPr>
      <w:rFonts w:ascii="Calibri" w:hAnsi="Calibri"/>
      <w:b/>
      <w:sz w:val="36"/>
      <w:szCs w:val="36"/>
    </w:rPr>
  </w:style>
  <w:style w:type="paragraph" w:styleId="15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6">
    <w:name w:val="Body Text Indent 3"/>
    <w:basedOn w:val="1"/>
    <w:link w:val="34"/>
    <w:uiPriority w:val="0"/>
    <w:pPr>
      <w:spacing w:after="120"/>
      <w:ind w:left="420"/>
    </w:pPr>
    <w:rPr>
      <w:sz w:val="16"/>
      <w:szCs w:val="16"/>
    </w:rPr>
  </w:style>
  <w:style w:type="paragraph" w:styleId="1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19">
    <w:name w:val="Strong"/>
    <w:qFormat/>
    <w:uiPriority w:val="22"/>
    <w:rPr>
      <w:b/>
      <w:bCs/>
    </w:rPr>
  </w:style>
  <w:style w:type="character" w:styleId="20">
    <w:name w:val="page number"/>
    <w:basedOn w:val="18"/>
    <w:uiPriority w:val="0"/>
  </w:style>
  <w:style w:type="character" w:styleId="21">
    <w:name w:val="FollowedHyperlink"/>
    <w:basedOn w:val="18"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uiPriority w:val="0"/>
    <w:rPr>
      <w:sz w:val="21"/>
      <w:szCs w:val="21"/>
    </w:rPr>
  </w:style>
  <w:style w:type="character" w:styleId="24">
    <w:name w:val="footnote reference"/>
    <w:semiHidden/>
    <w:uiPriority w:val="0"/>
    <w:rPr>
      <w:vertAlign w:val="superscript"/>
    </w:rPr>
  </w:style>
  <w:style w:type="table" w:styleId="26">
    <w:name w:val="Table Grid"/>
    <w:basedOn w:val="2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标题 1字符"/>
    <w:basedOn w:val="1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8">
    <w:name w:val="页脚字符"/>
    <w:basedOn w:val="18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脚注文本字符"/>
    <w:basedOn w:val="18"/>
    <w:link w:val="15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style571"/>
    <w:uiPriority w:val="0"/>
    <w:rPr>
      <w:rFonts w:hint="eastAsia" w:ascii="宋体" w:hAnsi="宋体" w:eastAsia="宋体"/>
      <w:sz w:val="18"/>
      <w:szCs w:val="18"/>
    </w:rPr>
  </w:style>
  <w:style w:type="character" w:customStyle="1" w:styleId="31">
    <w:name w:val="日期字符"/>
    <w:basedOn w:val="18"/>
    <w:link w:val="9"/>
    <w:uiPriority w:val="99"/>
    <w:rPr>
      <w:rFonts w:ascii="Times New Roman" w:hAnsi="Times New Roman" w:eastAsia="宋体" w:cs="Times New Roman"/>
      <w:szCs w:val="24"/>
    </w:rPr>
  </w:style>
  <w:style w:type="character" w:customStyle="1" w:styleId="32">
    <w:name w:val="正文文本缩进字符"/>
    <w:basedOn w:val="18"/>
    <w:link w:val="7"/>
    <w:uiPriority w:val="0"/>
    <w:rPr>
      <w:rFonts w:ascii="仿宋_GB2312" w:hAnsi="宋体" w:eastAsia="仿宋_GB2312" w:cs="Times New Roman"/>
      <w:sz w:val="32"/>
      <w:szCs w:val="28"/>
    </w:rPr>
  </w:style>
  <w:style w:type="character" w:customStyle="1" w:styleId="33">
    <w:name w:val="正文文本缩进 2字符"/>
    <w:basedOn w:val="18"/>
    <w:link w:val="10"/>
    <w:uiPriority w:val="0"/>
    <w:rPr>
      <w:rFonts w:ascii="Times New Roman" w:hAnsi="Times New Roman" w:eastAsia="宋体" w:cs="Times New Roman"/>
      <w:szCs w:val="24"/>
    </w:rPr>
  </w:style>
  <w:style w:type="character" w:customStyle="1" w:styleId="34">
    <w:name w:val="正文文本缩进 3字符"/>
    <w:basedOn w:val="18"/>
    <w:link w:val="16"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35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6">
    <w:name w:val="彩色列表 - 强调文字颜色 11"/>
    <w:basedOn w:val="1"/>
    <w:qFormat/>
    <w:uiPriority w:val="0"/>
    <w:pPr>
      <w:ind w:firstLine="420" w:firstLineChars="200"/>
    </w:pPr>
    <w:rPr>
      <w:rFonts w:ascii="Cambria" w:hAnsi="Cambria"/>
      <w:szCs w:val="22"/>
    </w:rPr>
  </w:style>
  <w:style w:type="character" w:customStyle="1" w:styleId="37">
    <w:name w:val="批注框文本字符"/>
    <w:basedOn w:val="18"/>
    <w:link w:val="11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8">
    <w:name w:val="页眉字符"/>
    <w:basedOn w:val="18"/>
    <w:link w:val="13"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9">
    <w:name w:val="注释文本字符"/>
    <w:basedOn w:val="18"/>
    <w:link w:val="4"/>
    <w:uiPriority w:val="0"/>
    <w:rPr>
      <w:rFonts w:ascii="Times New Roman" w:hAnsi="Times New Roman" w:eastAsia="宋体" w:cs="Times New Roman"/>
      <w:szCs w:val="24"/>
      <w:lang w:val="zh-CN" w:eastAsia="zh-CN"/>
    </w:rPr>
  </w:style>
  <w:style w:type="character" w:customStyle="1" w:styleId="40">
    <w:name w:val="批注主题字符"/>
    <w:basedOn w:val="39"/>
    <w:link w:val="3"/>
    <w:uiPriority w:val="0"/>
    <w:rPr>
      <w:rFonts w:ascii="Times New Roman" w:hAnsi="Times New Roman" w:eastAsia="宋体" w:cs="Times New Roman"/>
      <w:b/>
      <w:bCs/>
      <w:szCs w:val="24"/>
      <w:lang w:val="zh-CN" w:eastAsia="zh-CN"/>
    </w:rPr>
  </w:style>
  <w:style w:type="character" w:customStyle="1" w:styleId="41">
    <w:name w:val="正文文本字符"/>
    <w:basedOn w:val="18"/>
    <w:link w:val="6"/>
    <w:uiPriority w:val="0"/>
    <w:rPr>
      <w:rFonts w:ascii="Times New Roman" w:hAnsi="Times New Roman" w:eastAsia="宋体" w:cs="Times New Roman"/>
      <w:szCs w:val="24"/>
    </w:rPr>
  </w:style>
  <w:style w:type="paragraph" w:customStyle="1" w:styleId="42">
    <w:name w:val="标题 11"/>
    <w:basedOn w:val="1"/>
    <w:qFormat/>
    <w:uiPriority w:val="1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4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kern w:val="0"/>
      <w:sz w:val="24"/>
    </w:rPr>
  </w:style>
  <w:style w:type="character" w:customStyle="1" w:styleId="44">
    <w:name w:val="纯文本字符"/>
    <w:basedOn w:val="18"/>
    <w:link w:val="8"/>
    <w:uiPriority w:val="0"/>
    <w:rPr>
      <w:rFonts w:ascii="宋体" w:hAnsi="Courier New" w:eastAsia="宋体" w:cs="Times New Roman"/>
      <w:szCs w:val="20"/>
    </w:rPr>
  </w:style>
  <w:style w:type="table" w:customStyle="1" w:styleId="45">
    <w:name w:val="网格型1"/>
    <w:basedOn w:val="2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47">
    <w:name w:val="标准"/>
    <w:basedOn w:val="1"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456E89-F387-6C46-8831-AA0E881667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289</Words>
  <Characters>1648</Characters>
  <Lines>13</Lines>
  <Paragraphs>3</Paragraphs>
  <TotalTime>0</TotalTime>
  <ScaleCrop>false</ScaleCrop>
  <LinksUpToDate>false</LinksUpToDate>
  <CharactersWithSpaces>1934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2017-03-27T10:49:00Z</dcterms:created>
  <dc:creator>wangping</dc:creator>
  <cp:lastModifiedBy>zlczws</cp:lastModifiedBy>
  <cp:lastPrinted>2015-05-22T02:24:00Z</cp:lastPrinted>
  <dcterms:modified xsi:type="dcterms:W3CDTF">2017-04-27T02:40:48Z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